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pPr w:leftFromText="180" w:rightFromText="180" w:vertAnchor="text" w:horzAnchor="margin" w:tblpY="14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13"/>
        <w:gridCol w:w="6068"/>
      </w:tblGrid>
      <w:tr w:rsidR="00E128CF" w:rsidRPr="00E128CF" w14:paraId="59A00524" w14:textId="77777777" w:rsidTr="00E128CF">
        <w:trPr>
          <w:trHeight w:val="274"/>
        </w:trPr>
        <w:tc>
          <w:tcPr>
            <w:tcW w:w="3713" w:type="dxa"/>
          </w:tcPr>
          <w:p w14:paraId="0D549662" w14:textId="77777777" w:rsidR="00E128CF" w:rsidRPr="00E128CF" w:rsidRDefault="00E128CF"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sz w:val="24"/>
                <w:szCs w:val="24"/>
                <w:lang w:val="en-GB" w:eastAsia="en-GB" w:bidi="en-GB"/>
              </w:rPr>
            </w:pPr>
            <w:r w:rsidRPr="00E128CF">
              <w:rPr>
                <w:rFonts w:ascii="Arial" w:eastAsia="Calibri" w:hAnsi="Arial" w:cs="Arial"/>
                <w:sz w:val="24"/>
                <w:szCs w:val="24"/>
                <w:lang w:val="en-GB" w:eastAsia="en-GB" w:bidi="en-GB"/>
              </w:rPr>
              <w:t>Business Unit</w:t>
            </w:r>
          </w:p>
        </w:tc>
        <w:tc>
          <w:tcPr>
            <w:tcW w:w="6068" w:type="dxa"/>
          </w:tcPr>
          <w:p w14:paraId="0119E62D" w14:textId="77777777" w:rsidR="00E128CF" w:rsidRPr="00E128CF" w:rsidRDefault="00E128CF"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b/>
                <w:sz w:val="24"/>
                <w:szCs w:val="24"/>
                <w:lang w:val="en-GB" w:eastAsia="en-GB" w:bidi="en-GB"/>
              </w:rPr>
            </w:pPr>
            <w:r w:rsidRPr="00E128CF">
              <w:rPr>
                <w:rFonts w:ascii="Arial" w:eastAsia="Calibri" w:hAnsi="Arial" w:cs="Arial"/>
                <w:b/>
                <w:sz w:val="24"/>
                <w:szCs w:val="24"/>
                <w:lang w:val="en-GB" w:eastAsia="en-GB" w:bidi="en-GB"/>
              </w:rPr>
              <w:t xml:space="preserve">Supply Chain - Stores </w:t>
            </w:r>
          </w:p>
        </w:tc>
      </w:tr>
      <w:tr w:rsidR="00E128CF" w:rsidRPr="00E128CF" w14:paraId="40F51D68" w14:textId="77777777" w:rsidTr="00E128CF">
        <w:trPr>
          <w:trHeight w:val="274"/>
        </w:trPr>
        <w:tc>
          <w:tcPr>
            <w:tcW w:w="3713" w:type="dxa"/>
          </w:tcPr>
          <w:p w14:paraId="6AF22A24" w14:textId="77777777" w:rsidR="00E128CF" w:rsidRPr="00E128CF" w:rsidRDefault="00E128CF"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sz w:val="24"/>
                <w:szCs w:val="24"/>
                <w:lang w:val="en-GB" w:eastAsia="en-GB" w:bidi="en-GB"/>
              </w:rPr>
            </w:pPr>
            <w:r w:rsidRPr="00E128CF">
              <w:rPr>
                <w:rFonts w:ascii="Arial" w:eastAsia="Calibri" w:hAnsi="Arial" w:cs="Arial"/>
                <w:sz w:val="24"/>
                <w:szCs w:val="24"/>
                <w:lang w:val="en-GB" w:eastAsia="en-GB" w:bidi="en-GB"/>
              </w:rPr>
              <w:t>Job Title</w:t>
            </w:r>
          </w:p>
        </w:tc>
        <w:tc>
          <w:tcPr>
            <w:tcW w:w="6068" w:type="dxa"/>
          </w:tcPr>
          <w:p w14:paraId="67479A3E" w14:textId="3D67B7E6" w:rsidR="00E128CF" w:rsidRPr="00E128CF" w:rsidRDefault="0035199A"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b/>
                <w:sz w:val="24"/>
                <w:szCs w:val="24"/>
                <w:lang w:val="en-GB" w:eastAsia="en-GB" w:bidi="en-GB"/>
              </w:rPr>
            </w:pPr>
            <w:r>
              <w:rPr>
                <w:rFonts w:ascii="Arial" w:eastAsia="Calibri" w:hAnsi="Arial" w:cs="Arial"/>
                <w:b/>
                <w:sz w:val="24"/>
                <w:szCs w:val="24"/>
                <w:lang w:val="en-GB" w:eastAsia="en-GB" w:bidi="en-GB"/>
              </w:rPr>
              <w:t xml:space="preserve">Senior </w:t>
            </w:r>
            <w:r w:rsidR="00E128CF" w:rsidRPr="00E128CF">
              <w:rPr>
                <w:rFonts w:ascii="Arial" w:eastAsia="Calibri" w:hAnsi="Arial" w:cs="Arial"/>
                <w:b/>
                <w:sz w:val="24"/>
                <w:szCs w:val="24"/>
                <w:lang w:val="en-GB" w:eastAsia="en-GB" w:bidi="en-GB"/>
              </w:rPr>
              <w:t xml:space="preserve">Stores Operative </w:t>
            </w:r>
          </w:p>
        </w:tc>
      </w:tr>
      <w:tr w:rsidR="00E128CF" w:rsidRPr="00E128CF" w14:paraId="151BC67B" w14:textId="77777777" w:rsidTr="00E128CF">
        <w:tc>
          <w:tcPr>
            <w:tcW w:w="3713" w:type="dxa"/>
          </w:tcPr>
          <w:p w14:paraId="1675F34E" w14:textId="77777777" w:rsidR="00E128CF" w:rsidRPr="00E128CF" w:rsidRDefault="00E128CF"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sz w:val="24"/>
                <w:szCs w:val="24"/>
                <w:lang w:val="en-GB" w:eastAsia="en-GB" w:bidi="en-GB"/>
              </w:rPr>
            </w:pPr>
            <w:r w:rsidRPr="00E128CF">
              <w:rPr>
                <w:rFonts w:ascii="Arial" w:eastAsia="Calibri" w:hAnsi="Arial" w:cs="Arial"/>
                <w:sz w:val="24"/>
                <w:szCs w:val="24"/>
                <w:lang w:val="en-GB" w:eastAsia="en-GB" w:bidi="en-GB"/>
              </w:rPr>
              <w:t>Reporting to</w:t>
            </w:r>
          </w:p>
        </w:tc>
        <w:tc>
          <w:tcPr>
            <w:tcW w:w="6068" w:type="dxa"/>
          </w:tcPr>
          <w:p w14:paraId="4603A69E" w14:textId="77777777" w:rsidR="00E128CF" w:rsidRPr="00E128CF" w:rsidRDefault="00E128CF"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b/>
                <w:sz w:val="24"/>
                <w:szCs w:val="24"/>
                <w:lang w:val="en-GB" w:eastAsia="en-GB" w:bidi="en-GB"/>
              </w:rPr>
            </w:pPr>
            <w:r w:rsidRPr="00E128CF">
              <w:rPr>
                <w:rFonts w:ascii="Arial" w:eastAsia="Calibri" w:hAnsi="Arial" w:cs="Arial"/>
                <w:b/>
                <w:sz w:val="24"/>
                <w:szCs w:val="24"/>
                <w:lang w:val="en-GB" w:eastAsia="en-GB" w:bidi="en-GB"/>
              </w:rPr>
              <w:t xml:space="preserve">Stores Manager </w:t>
            </w:r>
          </w:p>
        </w:tc>
      </w:tr>
      <w:tr w:rsidR="00E128CF" w:rsidRPr="00E128CF" w14:paraId="11DD55DA" w14:textId="77777777" w:rsidTr="00E128CF">
        <w:tc>
          <w:tcPr>
            <w:tcW w:w="3713" w:type="dxa"/>
          </w:tcPr>
          <w:p w14:paraId="659A104F" w14:textId="77777777" w:rsidR="00E128CF" w:rsidRPr="00E128CF" w:rsidRDefault="00E128CF"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sz w:val="24"/>
                <w:szCs w:val="24"/>
                <w:lang w:val="en-GB" w:eastAsia="en-GB" w:bidi="en-GB"/>
              </w:rPr>
            </w:pPr>
            <w:r w:rsidRPr="00E128CF">
              <w:rPr>
                <w:rFonts w:ascii="Arial" w:eastAsia="Calibri" w:hAnsi="Arial" w:cs="Arial"/>
                <w:sz w:val="24"/>
                <w:szCs w:val="24"/>
                <w:lang w:val="en-GB" w:eastAsia="en-GB" w:bidi="en-GB"/>
              </w:rPr>
              <w:t>Location</w:t>
            </w:r>
          </w:p>
        </w:tc>
        <w:tc>
          <w:tcPr>
            <w:tcW w:w="6068" w:type="dxa"/>
          </w:tcPr>
          <w:p w14:paraId="6270864E" w14:textId="3957BC91" w:rsidR="00E128CF" w:rsidRPr="00E128CF" w:rsidRDefault="007B1456" w:rsidP="00E128CF">
            <w:pPr>
              <w:pStyle w:val="prodnormal"/>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jc w:val="both"/>
              <w:rPr>
                <w:rFonts w:ascii="Arial" w:eastAsia="Calibri" w:hAnsi="Arial" w:cs="Arial"/>
                <w:b/>
                <w:sz w:val="24"/>
                <w:szCs w:val="24"/>
                <w:lang w:val="en-GB" w:eastAsia="en-GB" w:bidi="en-GB"/>
              </w:rPr>
            </w:pPr>
            <w:r>
              <w:rPr>
                <w:rFonts w:ascii="Arial" w:eastAsia="Calibri" w:hAnsi="Arial" w:cs="Arial"/>
                <w:b/>
                <w:sz w:val="24"/>
                <w:szCs w:val="24"/>
                <w:lang w:val="en-GB" w:eastAsia="en-GB" w:bidi="en-GB"/>
              </w:rPr>
              <w:t>Monkstown</w:t>
            </w:r>
            <w:r w:rsidR="00E128CF" w:rsidRPr="00E128CF">
              <w:rPr>
                <w:rFonts w:ascii="Arial" w:eastAsia="Calibri" w:hAnsi="Arial" w:cs="Arial"/>
                <w:b/>
                <w:sz w:val="24"/>
                <w:szCs w:val="24"/>
                <w:lang w:val="en-GB" w:eastAsia="en-GB" w:bidi="en-GB"/>
              </w:rPr>
              <w:t xml:space="preserve">, Northern Ireland </w:t>
            </w:r>
          </w:p>
        </w:tc>
      </w:tr>
    </w:tbl>
    <w:p w14:paraId="2EA5779B" w14:textId="77777777" w:rsidR="0090173C"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Calibri" w:eastAsia="Calibri" w:hAnsi="Calibri" w:cs="Calibri"/>
          <w:color w:val="222222"/>
          <w:sz w:val="20"/>
          <w:lang w:val="en-GB" w:eastAsia="en-GB" w:bidi="en-GB"/>
        </w:rPr>
      </w:pPr>
    </w:p>
    <w:p w14:paraId="50155020" w14:textId="77777777" w:rsidR="005B1DB2" w:rsidRPr="004D1207"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lang w:bidi="en-GB"/>
        </w:rPr>
      </w:pPr>
      <w:r w:rsidRPr="004D1207">
        <w:rPr>
          <w:rFonts w:ascii="Arial" w:eastAsia="Calibri" w:hAnsi="Arial" w:cs="Arial"/>
          <w:b/>
          <w:color w:val="0070C0"/>
          <w:lang w:bidi="en-GB"/>
        </w:rPr>
        <w:t>WE ARE CDE.  </w:t>
      </w:r>
    </w:p>
    <w:p w14:paraId="5CAFAD25" w14:textId="77777777" w:rsidR="005B1DB2" w:rsidRPr="004D1207"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lang w:bidi="en-GB"/>
        </w:rPr>
      </w:pPr>
    </w:p>
    <w:p w14:paraId="5A925642" w14:textId="77777777" w:rsidR="005B1DB2" w:rsidRPr="004D1207"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lang w:bidi="en-GB"/>
        </w:rPr>
      </w:pPr>
      <w:r w:rsidRPr="004D1207">
        <w:rPr>
          <w:rFonts w:ascii="Arial" w:eastAsia="Calibri" w:hAnsi="Arial" w:cs="Arial"/>
          <w:b/>
          <w:color w:val="0070C0"/>
          <w:lang w:bidi="en-GB"/>
        </w:rPr>
        <w:t>HERE TO CREATE OUR BEST WORLD, A TON AT A TIME. </w:t>
      </w:r>
    </w:p>
    <w:p w14:paraId="3B03F872" w14:textId="77777777" w:rsidR="005B1DB2" w:rsidRPr="00105920"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 w:val="20"/>
          <w:lang w:bidi="en-GB"/>
        </w:rPr>
      </w:pPr>
    </w:p>
    <w:p w14:paraId="225EF86B" w14:textId="77777777" w:rsidR="005B1DB2" w:rsidRPr="00141D83"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rPr>
      </w:pPr>
      <w:r w:rsidRPr="00141D83">
        <w:rPr>
          <w:rFonts w:ascii="Arial" w:hAnsi="Arial" w:cs="Arial"/>
          <w:color w:val="000000"/>
        </w:rPr>
        <w:t>Sand is a finite resource, and it’s running out. Today, population growth and the pace of progress means the world is devouring sand like never before – 50 billion tonnes a year globally. This demand is unsustainable. Together with our customers we have already diverted over 100 million tonnes of waste material from landfill and put it back into the materials market for use in construction; protecting sand &amp; aggregates in areas where natural material reserves are in decline and enabling production to happen closer to markets. We are minimising environmental impact and laying the foundations for the circular economy.  </w:t>
      </w:r>
    </w:p>
    <w:p w14:paraId="306CF3E5" w14:textId="77777777" w:rsidR="005B1DB2" w:rsidRPr="00141D83"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rPr>
      </w:pPr>
    </w:p>
    <w:p w14:paraId="5ED5558E" w14:textId="77777777" w:rsidR="005B1DB2" w:rsidRPr="00141D83"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rPr>
      </w:pPr>
      <w:r w:rsidRPr="00141D83">
        <w:rPr>
          <w:rFonts w:ascii="Arial" w:hAnsi="Arial" w:cs="Arial"/>
          <w:color w:val="000000"/>
        </w:rPr>
        <w:t>At CDE we work across the natural processing and waste recycling sectors, in five regions, to pioneer industry-leading, world-changing engineering solutions. Our headquarters are in Northern Ireland, and we have offices in the USA, Australia, Austria, and Brazil. For over 30 years we have relentlessly innovated and co-created wet processing solutions – completing over 2,000 global projects – and we’re only getting started. Our purpose is to create our best world, a ton at a time; empowering our customers to transform their materials into valuable resources for the betterment of people, planet, and their bottom lines.  </w:t>
      </w:r>
    </w:p>
    <w:p w14:paraId="39401FB9" w14:textId="77777777" w:rsidR="005B1DB2" w:rsidRPr="00FC60C4"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rPr>
      </w:pPr>
    </w:p>
    <w:p w14:paraId="6C0DCEB3" w14:textId="77777777" w:rsidR="005B1DB2" w:rsidRPr="00913BFC" w:rsidRDefault="005B1DB2" w:rsidP="005B1DB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rPr>
      </w:pPr>
      <w:r w:rsidRPr="00141D83">
        <w:rPr>
          <w:rFonts w:ascii="Arial" w:hAnsi="Arial" w:cs="Arial"/>
          <w:color w:val="000000"/>
        </w:rPr>
        <w:t>Discover more about life at CDE</w:t>
      </w:r>
      <w:r w:rsidRPr="00FC60C4">
        <w:rPr>
          <w:rFonts w:ascii="Arial" w:hAnsi="Arial" w:cs="Arial"/>
          <w:color w:val="000000"/>
        </w:rPr>
        <w:t xml:space="preserve"> </w:t>
      </w:r>
      <w:hyperlink r:id="rId7" w:tgtFrame="_blank" w:history="1">
        <w:r w:rsidRPr="00FC60C4">
          <w:rPr>
            <w:rFonts w:ascii="Arial" w:hAnsi="Arial" w:cs="Arial"/>
            <w:color w:val="000000"/>
          </w:rPr>
          <w:t>www.cdegroup.com</w:t>
        </w:r>
      </w:hyperlink>
      <w:r w:rsidRPr="00FC60C4">
        <w:rPr>
          <w:rFonts w:ascii="Arial" w:hAnsi="Arial" w:cs="Arial"/>
          <w:color w:val="000000"/>
        </w:rPr>
        <w:t>  </w:t>
      </w:r>
    </w:p>
    <w:p w14:paraId="1013D8B8" w14:textId="77777777" w:rsidR="0090173C" w:rsidRPr="00E128CF" w:rsidRDefault="00B401F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240" w:after="180"/>
        <w:jc w:val="both"/>
        <w:rPr>
          <w:rFonts w:ascii="Arial" w:eastAsia="Calibri" w:hAnsi="Arial" w:cs="Arial"/>
          <w:b/>
          <w:color w:val="0070C0"/>
          <w:lang w:val="en-GB" w:eastAsia="en-GB" w:bidi="en-GB"/>
        </w:rPr>
      </w:pPr>
      <w:r w:rsidRPr="00E128CF">
        <w:rPr>
          <w:rFonts w:ascii="Arial" w:eastAsia="Calibri" w:hAnsi="Arial" w:cs="Arial"/>
          <w:b/>
          <w:color w:val="0070C0"/>
          <w:lang w:val="en-GB" w:eastAsia="en-GB" w:bidi="en-GB"/>
        </w:rPr>
        <w:t xml:space="preserve">Job Purpose </w:t>
      </w:r>
    </w:p>
    <w:p w14:paraId="646DB507" w14:textId="6F5E6853" w:rsidR="0090173C"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r w:rsidRPr="00E128CF">
        <w:rPr>
          <w:rFonts w:ascii="Arial" w:eastAsia="Calibri" w:hAnsi="Arial" w:cs="Arial"/>
          <w:lang w:val="en-GB" w:eastAsia="en-GB" w:bidi="en-GB"/>
        </w:rPr>
        <w:t xml:space="preserve">To ensure all material and parts are controlled and managed in an organised and efficient manner within the stores area. </w:t>
      </w:r>
    </w:p>
    <w:p w14:paraId="13D52CE5" w14:textId="742800AA" w:rsidR="0035199A" w:rsidRDefault="0035199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p>
    <w:p w14:paraId="3DAE71CB" w14:textId="16C3D1F7" w:rsidR="0035199A" w:rsidRDefault="0035199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r>
        <w:rPr>
          <w:rFonts w:ascii="Arial" w:eastAsia="Calibri" w:hAnsi="Arial" w:cs="Arial"/>
          <w:lang w:val="en-GB" w:eastAsia="en-GB" w:bidi="en-GB"/>
        </w:rPr>
        <w:t>Working closely with the Stores Supervisor to ensure Health &amp; Safety standards are adhered to &amp; monitored.</w:t>
      </w:r>
    </w:p>
    <w:p w14:paraId="715AC147" w14:textId="40CA4205" w:rsidR="0035199A" w:rsidRDefault="0035199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r>
        <w:rPr>
          <w:rFonts w:ascii="Arial" w:eastAsia="Calibri" w:hAnsi="Arial" w:cs="Arial"/>
          <w:lang w:val="en-GB" w:eastAsia="en-GB" w:bidi="en-GB"/>
        </w:rPr>
        <w:t xml:space="preserve">Ensure Daily Check are completed on all equipment &amp; Facilities requests raised for repairs or improvements. </w:t>
      </w:r>
    </w:p>
    <w:p w14:paraId="4BF29BE9" w14:textId="77777777" w:rsidR="0035199A" w:rsidRPr="00E128CF" w:rsidRDefault="0035199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p>
    <w:p w14:paraId="5FC6B17F"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i/>
          <w:lang w:val="en-GB" w:eastAsia="en-GB" w:bidi="en-GB"/>
        </w:rPr>
      </w:pPr>
    </w:p>
    <w:p w14:paraId="64943AD0"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i/>
          <w:lang w:val="en-GB" w:eastAsia="en-GB" w:bidi="en-GB"/>
        </w:rPr>
      </w:pPr>
      <w:r w:rsidRPr="00E128CF">
        <w:rPr>
          <w:rFonts w:ascii="Arial" w:eastAsia="Calibri" w:hAnsi="Arial" w:cs="Arial"/>
          <w:i/>
          <w:lang w:val="en-GB" w:eastAsia="en-GB" w:bidi="en-GB"/>
        </w:rPr>
        <w:t>NB. this job description is not exhaustive as other duties may be required to fulfil the requirements of the role.</w:t>
      </w:r>
    </w:p>
    <w:p w14:paraId="25A12A10"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i/>
          <w:lang w:val="en-GB" w:eastAsia="en-GB" w:bidi="en-GB"/>
        </w:rPr>
      </w:pPr>
    </w:p>
    <w:p w14:paraId="32D75BE4"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i/>
          <w:lang w:val="en-GB" w:eastAsia="en-GB" w:bidi="en-GB"/>
        </w:rPr>
      </w:pPr>
      <w:r w:rsidRPr="00E128CF">
        <w:rPr>
          <w:rFonts w:ascii="Arial" w:eastAsia="Calibri" w:hAnsi="Arial" w:cs="Arial"/>
          <w:b/>
          <w:color w:val="0070C0"/>
          <w:lang w:val="en-GB" w:eastAsia="en-GB" w:bidi="en-GB"/>
        </w:rPr>
        <w:t>Responsibilities</w:t>
      </w:r>
    </w:p>
    <w:p w14:paraId="0AECF686"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AU" w:eastAsia="en-AU" w:bidi="en-AU"/>
        </w:rPr>
        <w:t>Adhering to company safety policies and procedures, at all times</w:t>
      </w:r>
    </w:p>
    <w:p w14:paraId="3FBA2B1A"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Good inwards – goods off load, verify against paperwork and verify quality</w:t>
      </w:r>
    </w:p>
    <w:p w14:paraId="641455AA"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Stock management – ensure stock is put away in applicable section of stores</w:t>
      </w:r>
    </w:p>
    <w:p w14:paraId="7B275710"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Despatch – accurately ‘pick’ goods for fabrication, site, assembly or spares</w:t>
      </w:r>
    </w:p>
    <w:p w14:paraId="2F43E7C4"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lastRenderedPageBreak/>
        <w:t>Maintain target 5s standards for work area and identify and implement improvements.</w:t>
      </w:r>
    </w:p>
    <w:p w14:paraId="5B1F13DB"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 xml:space="preserve">Ensure all equipment is properly set-up and used in a safe manner and that all safety devices are in use. </w:t>
      </w:r>
    </w:p>
    <w:p w14:paraId="5249A79A" w14:textId="77777777" w:rsidR="0090173C" w:rsidRPr="00E128CF" w:rsidRDefault="00B401F0">
      <w:pPr>
        <w:numPr>
          <w:ilvl w:val="0"/>
          <w:numId w:val="1"/>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u w:val="single"/>
          <w:lang w:val="en-GB" w:eastAsia="en-GB" w:bidi="en-GB"/>
        </w:rPr>
      </w:pPr>
      <w:r w:rsidRPr="00E128CF">
        <w:rPr>
          <w:rFonts w:ascii="Arial" w:eastAsia="Calibri" w:hAnsi="Arial" w:cs="Arial"/>
          <w:lang w:val="en-GB" w:eastAsia="en-GB" w:bidi="en-GB"/>
        </w:rPr>
        <w:t xml:space="preserve">Stock counting – assist with the routine physical stock count and check stock levels on </w:t>
      </w:r>
    </w:p>
    <w:p w14:paraId="01273B3F" w14:textId="77777777" w:rsidR="00AC7E11" w:rsidRPr="00E128CF" w:rsidRDefault="00B401F0" w:rsidP="00AC7E11">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eastAsia="Calibri" w:hAnsi="Arial" w:cs="Arial"/>
          <w:lang w:val="en-GB" w:eastAsia="en-GB" w:bidi="en-GB"/>
        </w:rPr>
      </w:pPr>
      <w:r w:rsidRPr="00E128CF">
        <w:rPr>
          <w:rFonts w:ascii="Arial" w:eastAsia="Calibri" w:hAnsi="Arial" w:cs="Arial"/>
          <w:lang w:val="en-GB" w:eastAsia="en-GB" w:bidi="en-GB"/>
        </w:rPr>
        <w:t>Request.</w:t>
      </w:r>
    </w:p>
    <w:p w14:paraId="036B70FB"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lang w:val="en-GB" w:eastAsia="en-GB" w:bidi="en-GB"/>
        </w:rPr>
      </w:pPr>
    </w:p>
    <w:p w14:paraId="7CF1B596" w14:textId="16E82C36" w:rsidR="00DD2D9A" w:rsidRPr="00EC7048" w:rsidRDefault="00B401F0" w:rsidP="00EC704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r w:rsidRPr="00E360AF">
        <w:rPr>
          <w:rFonts w:ascii="Arial" w:eastAsia="Calibri" w:hAnsi="Arial" w:cs="Arial"/>
          <w:b/>
          <w:color w:val="0070C0"/>
          <w:lang w:val="en-GB" w:eastAsia="en-GB" w:bidi="en-GB"/>
        </w:rPr>
        <w:t>Other</w:t>
      </w:r>
    </w:p>
    <w:p w14:paraId="5FD03DF1" w14:textId="77777777" w:rsidR="00DD2D9A" w:rsidRPr="00B9471F" w:rsidRDefault="00DD2D9A" w:rsidP="00DD2D9A">
      <w:pPr>
        <w:pStyle w:val="ListParagraph"/>
        <w:widowControl w:val="0"/>
        <w:numPr>
          <w:ilvl w:val="0"/>
          <w:numId w:val="5"/>
        </w:numPr>
        <w:tabs>
          <w:tab w:val="left" w:pos="800"/>
          <w:tab w:val="left" w:pos="801"/>
        </w:tabs>
        <w:autoSpaceDE w:val="0"/>
        <w:autoSpaceDN w:val="0"/>
        <w:spacing w:line="255" w:lineRule="exact"/>
        <w:ind w:hanging="361"/>
        <w:rPr>
          <w:rFonts w:ascii="Arial" w:hAnsi="Arial" w:cs="Arial"/>
        </w:rPr>
      </w:pPr>
      <w:r w:rsidRPr="00B9471F">
        <w:rPr>
          <w:rFonts w:ascii="Arial" w:hAnsi="Arial" w:cs="Arial"/>
        </w:rPr>
        <w:t>To</w:t>
      </w:r>
      <w:r w:rsidRPr="00B9471F">
        <w:rPr>
          <w:rFonts w:ascii="Arial" w:hAnsi="Arial" w:cs="Arial"/>
          <w:spacing w:val="-4"/>
        </w:rPr>
        <w:t xml:space="preserve"> </w:t>
      </w:r>
      <w:r w:rsidRPr="00B9471F">
        <w:rPr>
          <w:rFonts w:ascii="Arial" w:hAnsi="Arial" w:cs="Arial"/>
        </w:rPr>
        <w:t>adhere</w:t>
      </w:r>
      <w:r w:rsidRPr="00B9471F">
        <w:rPr>
          <w:rFonts w:ascii="Arial" w:hAnsi="Arial" w:cs="Arial"/>
          <w:spacing w:val="-5"/>
        </w:rPr>
        <w:t xml:space="preserve"> </w:t>
      </w:r>
      <w:r w:rsidRPr="00B9471F">
        <w:rPr>
          <w:rFonts w:ascii="Arial" w:hAnsi="Arial" w:cs="Arial"/>
        </w:rPr>
        <w:t>to</w:t>
      </w:r>
      <w:r w:rsidRPr="00B9471F">
        <w:rPr>
          <w:rFonts w:ascii="Arial" w:hAnsi="Arial" w:cs="Arial"/>
          <w:spacing w:val="-4"/>
        </w:rPr>
        <w:t xml:space="preserve"> </w:t>
      </w:r>
      <w:r w:rsidRPr="00B9471F">
        <w:rPr>
          <w:rFonts w:ascii="Arial" w:hAnsi="Arial" w:cs="Arial"/>
        </w:rPr>
        <w:t>CDE</w:t>
      </w:r>
      <w:r w:rsidRPr="00B9471F">
        <w:rPr>
          <w:rFonts w:ascii="Arial" w:hAnsi="Arial" w:cs="Arial"/>
          <w:spacing w:val="-4"/>
        </w:rPr>
        <w:t xml:space="preserve"> </w:t>
      </w:r>
      <w:r w:rsidRPr="00B9471F">
        <w:rPr>
          <w:rFonts w:ascii="Arial" w:hAnsi="Arial" w:cs="Arial"/>
        </w:rPr>
        <w:t>policy</w:t>
      </w:r>
      <w:r w:rsidRPr="00B9471F">
        <w:rPr>
          <w:rFonts w:ascii="Arial" w:hAnsi="Arial" w:cs="Arial"/>
          <w:spacing w:val="-4"/>
        </w:rPr>
        <w:t xml:space="preserve"> </w:t>
      </w:r>
      <w:r w:rsidRPr="00B9471F">
        <w:rPr>
          <w:rFonts w:ascii="Arial" w:hAnsi="Arial" w:cs="Arial"/>
        </w:rPr>
        <w:t>and</w:t>
      </w:r>
      <w:r w:rsidRPr="00B9471F">
        <w:rPr>
          <w:rFonts w:ascii="Arial" w:hAnsi="Arial" w:cs="Arial"/>
          <w:spacing w:val="-4"/>
        </w:rPr>
        <w:t xml:space="preserve"> </w:t>
      </w:r>
      <w:r w:rsidRPr="00B9471F">
        <w:rPr>
          <w:rFonts w:ascii="Arial" w:hAnsi="Arial" w:cs="Arial"/>
          <w:spacing w:val="-2"/>
        </w:rPr>
        <w:t>practice.</w:t>
      </w:r>
    </w:p>
    <w:p w14:paraId="52E52988" w14:textId="77777777" w:rsidR="00DD2D9A" w:rsidRPr="00B9471F" w:rsidRDefault="00DD2D9A" w:rsidP="00DD2D9A">
      <w:pPr>
        <w:pStyle w:val="ListParagraph"/>
        <w:widowControl w:val="0"/>
        <w:numPr>
          <w:ilvl w:val="0"/>
          <w:numId w:val="5"/>
        </w:numPr>
        <w:tabs>
          <w:tab w:val="left" w:pos="800"/>
          <w:tab w:val="left" w:pos="801"/>
        </w:tabs>
        <w:autoSpaceDE w:val="0"/>
        <w:autoSpaceDN w:val="0"/>
        <w:ind w:hanging="361"/>
        <w:rPr>
          <w:rFonts w:ascii="Arial" w:hAnsi="Arial" w:cs="Arial"/>
        </w:rPr>
      </w:pPr>
      <w:r w:rsidRPr="00B9471F">
        <w:rPr>
          <w:rFonts w:ascii="Arial" w:hAnsi="Arial" w:cs="Arial"/>
        </w:rPr>
        <w:t>To</w:t>
      </w:r>
      <w:r w:rsidRPr="00B9471F">
        <w:rPr>
          <w:rFonts w:ascii="Arial" w:hAnsi="Arial" w:cs="Arial"/>
          <w:spacing w:val="-5"/>
        </w:rPr>
        <w:t xml:space="preserve"> </w:t>
      </w:r>
      <w:r w:rsidRPr="00B9471F">
        <w:rPr>
          <w:rFonts w:ascii="Arial" w:hAnsi="Arial" w:cs="Arial"/>
        </w:rPr>
        <w:t>protect</w:t>
      </w:r>
      <w:r w:rsidRPr="00B9471F">
        <w:rPr>
          <w:rFonts w:ascii="Arial" w:hAnsi="Arial" w:cs="Arial"/>
          <w:spacing w:val="-5"/>
        </w:rPr>
        <w:t xml:space="preserve"> </w:t>
      </w:r>
      <w:r w:rsidRPr="00B9471F">
        <w:rPr>
          <w:rFonts w:ascii="Arial" w:hAnsi="Arial" w:cs="Arial"/>
        </w:rPr>
        <w:t>the</w:t>
      </w:r>
      <w:r w:rsidRPr="00B9471F">
        <w:rPr>
          <w:rFonts w:ascii="Arial" w:hAnsi="Arial" w:cs="Arial"/>
          <w:spacing w:val="-5"/>
        </w:rPr>
        <w:t xml:space="preserve"> </w:t>
      </w:r>
      <w:r w:rsidRPr="00B9471F">
        <w:rPr>
          <w:rFonts w:ascii="Arial" w:hAnsi="Arial" w:cs="Arial"/>
        </w:rPr>
        <w:t>confidentiality</w:t>
      </w:r>
      <w:r w:rsidRPr="00B9471F">
        <w:rPr>
          <w:rFonts w:ascii="Arial" w:hAnsi="Arial" w:cs="Arial"/>
          <w:spacing w:val="-2"/>
        </w:rPr>
        <w:t xml:space="preserve"> </w:t>
      </w:r>
      <w:r w:rsidRPr="00B9471F">
        <w:rPr>
          <w:rFonts w:ascii="Arial" w:hAnsi="Arial" w:cs="Arial"/>
        </w:rPr>
        <w:t>of</w:t>
      </w:r>
      <w:r w:rsidRPr="00B9471F">
        <w:rPr>
          <w:rFonts w:ascii="Arial" w:hAnsi="Arial" w:cs="Arial"/>
          <w:spacing w:val="-7"/>
        </w:rPr>
        <w:t xml:space="preserve"> </w:t>
      </w:r>
      <w:r w:rsidRPr="00B9471F">
        <w:rPr>
          <w:rFonts w:ascii="Arial" w:hAnsi="Arial" w:cs="Arial"/>
        </w:rPr>
        <w:t>all</w:t>
      </w:r>
      <w:r w:rsidRPr="00B9471F">
        <w:rPr>
          <w:rFonts w:ascii="Arial" w:hAnsi="Arial" w:cs="Arial"/>
          <w:spacing w:val="-5"/>
        </w:rPr>
        <w:t xml:space="preserve"> </w:t>
      </w:r>
      <w:r w:rsidRPr="00B9471F">
        <w:rPr>
          <w:rFonts w:ascii="Arial" w:hAnsi="Arial" w:cs="Arial"/>
        </w:rPr>
        <w:t>information</w:t>
      </w:r>
      <w:r w:rsidRPr="00B9471F">
        <w:rPr>
          <w:rFonts w:ascii="Arial" w:hAnsi="Arial" w:cs="Arial"/>
          <w:spacing w:val="-4"/>
        </w:rPr>
        <w:t xml:space="preserve"> </w:t>
      </w:r>
      <w:r w:rsidRPr="00B9471F">
        <w:rPr>
          <w:rFonts w:ascii="Arial" w:hAnsi="Arial" w:cs="Arial"/>
        </w:rPr>
        <w:t>and</w:t>
      </w:r>
      <w:r w:rsidRPr="00B9471F">
        <w:rPr>
          <w:rFonts w:ascii="Arial" w:hAnsi="Arial" w:cs="Arial"/>
          <w:spacing w:val="-5"/>
        </w:rPr>
        <w:t xml:space="preserve"> </w:t>
      </w:r>
      <w:r w:rsidRPr="00B9471F">
        <w:rPr>
          <w:rFonts w:ascii="Arial" w:hAnsi="Arial" w:cs="Arial"/>
        </w:rPr>
        <w:t>data</w:t>
      </w:r>
      <w:r w:rsidRPr="00B9471F">
        <w:rPr>
          <w:rFonts w:ascii="Arial" w:hAnsi="Arial" w:cs="Arial"/>
          <w:spacing w:val="-5"/>
        </w:rPr>
        <w:t xml:space="preserve"> </w:t>
      </w:r>
      <w:r w:rsidRPr="00B9471F">
        <w:rPr>
          <w:rFonts w:ascii="Arial" w:hAnsi="Arial" w:cs="Arial"/>
        </w:rPr>
        <w:t>held</w:t>
      </w:r>
      <w:r w:rsidRPr="00B9471F">
        <w:rPr>
          <w:rFonts w:ascii="Arial" w:hAnsi="Arial" w:cs="Arial"/>
          <w:spacing w:val="-4"/>
        </w:rPr>
        <w:t xml:space="preserve"> </w:t>
      </w:r>
      <w:r w:rsidRPr="00B9471F">
        <w:rPr>
          <w:rFonts w:ascii="Arial" w:hAnsi="Arial" w:cs="Arial"/>
          <w:spacing w:val="-2"/>
        </w:rPr>
        <w:t>privately.</w:t>
      </w:r>
    </w:p>
    <w:p w14:paraId="3C771E39" w14:textId="77777777" w:rsidR="00DD2D9A" w:rsidRPr="00B9471F" w:rsidRDefault="00DD2D9A" w:rsidP="00DD2D9A">
      <w:pPr>
        <w:pStyle w:val="ListParagraph"/>
        <w:widowControl w:val="0"/>
        <w:numPr>
          <w:ilvl w:val="0"/>
          <w:numId w:val="5"/>
        </w:numPr>
        <w:tabs>
          <w:tab w:val="left" w:pos="800"/>
          <w:tab w:val="left" w:pos="801"/>
        </w:tabs>
        <w:autoSpaceDE w:val="0"/>
        <w:autoSpaceDN w:val="0"/>
        <w:spacing w:before="1"/>
        <w:ind w:hanging="361"/>
        <w:rPr>
          <w:rFonts w:ascii="Arial" w:hAnsi="Arial" w:cs="Arial"/>
        </w:rPr>
      </w:pPr>
      <w:r w:rsidRPr="00B9471F">
        <w:rPr>
          <w:rFonts w:ascii="Arial" w:hAnsi="Arial" w:cs="Arial"/>
        </w:rPr>
        <w:t>To</w:t>
      </w:r>
      <w:r w:rsidRPr="00B9471F">
        <w:rPr>
          <w:rFonts w:ascii="Arial" w:hAnsi="Arial" w:cs="Arial"/>
          <w:spacing w:val="-5"/>
        </w:rPr>
        <w:t xml:space="preserve"> </w:t>
      </w:r>
      <w:r w:rsidRPr="00B9471F">
        <w:rPr>
          <w:rFonts w:ascii="Arial" w:hAnsi="Arial" w:cs="Arial"/>
        </w:rPr>
        <w:t>carry</w:t>
      </w:r>
      <w:r w:rsidRPr="00B9471F">
        <w:rPr>
          <w:rFonts w:ascii="Arial" w:hAnsi="Arial" w:cs="Arial"/>
          <w:spacing w:val="-5"/>
        </w:rPr>
        <w:t xml:space="preserve"> </w:t>
      </w:r>
      <w:r w:rsidRPr="00B9471F">
        <w:rPr>
          <w:rFonts w:ascii="Arial" w:hAnsi="Arial" w:cs="Arial"/>
        </w:rPr>
        <w:t>out</w:t>
      </w:r>
      <w:r w:rsidRPr="00B9471F">
        <w:rPr>
          <w:rFonts w:ascii="Arial" w:hAnsi="Arial" w:cs="Arial"/>
          <w:spacing w:val="-4"/>
        </w:rPr>
        <w:t xml:space="preserve"> </w:t>
      </w:r>
      <w:r w:rsidRPr="00B9471F">
        <w:rPr>
          <w:rFonts w:ascii="Arial" w:hAnsi="Arial" w:cs="Arial"/>
        </w:rPr>
        <w:t>any</w:t>
      </w:r>
      <w:r w:rsidRPr="00B9471F">
        <w:rPr>
          <w:rFonts w:ascii="Arial" w:hAnsi="Arial" w:cs="Arial"/>
          <w:spacing w:val="-5"/>
        </w:rPr>
        <w:t xml:space="preserve"> </w:t>
      </w:r>
      <w:r w:rsidRPr="00B9471F">
        <w:rPr>
          <w:rFonts w:ascii="Arial" w:hAnsi="Arial" w:cs="Arial"/>
        </w:rPr>
        <w:t>other</w:t>
      </w:r>
      <w:r w:rsidRPr="00B9471F">
        <w:rPr>
          <w:rFonts w:ascii="Arial" w:hAnsi="Arial" w:cs="Arial"/>
          <w:spacing w:val="-3"/>
        </w:rPr>
        <w:t xml:space="preserve"> </w:t>
      </w:r>
      <w:r w:rsidRPr="00B9471F">
        <w:rPr>
          <w:rFonts w:ascii="Arial" w:hAnsi="Arial" w:cs="Arial"/>
        </w:rPr>
        <w:t>duties</w:t>
      </w:r>
      <w:r w:rsidRPr="00B9471F">
        <w:rPr>
          <w:rFonts w:ascii="Arial" w:hAnsi="Arial" w:cs="Arial"/>
          <w:spacing w:val="-4"/>
        </w:rPr>
        <w:t xml:space="preserve"> </w:t>
      </w:r>
      <w:r w:rsidRPr="00B9471F">
        <w:rPr>
          <w:rFonts w:ascii="Arial" w:hAnsi="Arial" w:cs="Arial"/>
        </w:rPr>
        <w:t>within</w:t>
      </w:r>
      <w:r w:rsidRPr="00B9471F">
        <w:rPr>
          <w:rFonts w:ascii="Arial" w:hAnsi="Arial" w:cs="Arial"/>
          <w:spacing w:val="-4"/>
        </w:rPr>
        <w:t xml:space="preserve"> </w:t>
      </w:r>
      <w:r w:rsidRPr="00B9471F">
        <w:rPr>
          <w:rFonts w:ascii="Arial" w:hAnsi="Arial" w:cs="Arial"/>
        </w:rPr>
        <w:t>reason</w:t>
      </w:r>
      <w:r w:rsidRPr="00B9471F">
        <w:rPr>
          <w:rFonts w:ascii="Arial" w:hAnsi="Arial" w:cs="Arial"/>
          <w:spacing w:val="-4"/>
        </w:rPr>
        <w:t xml:space="preserve"> </w:t>
      </w:r>
      <w:r w:rsidRPr="00B9471F">
        <w:rPr>
          <w:rFonts w:ascii="Arial" w:hAnsi="Arial" w:cs="Arial"/>
        </w:rPr>
        <w:t>and</w:t>
      </w:r>
      <w:r w:rsidRPr="00B9471F">
        <w:rPr>
          <w:rFonts w:ascii="Arial" w:hAnsi="Arial" w:cs="Arial"/>
          <w:spacing w:val="-5"/>
        </w:rPr>
        <w:t xml:space="preserve"> </w:t>
      </w:r>
      <w:r w:rsidRPr="00B9471F">
        <w:rPr>
          <w:rFonts w:ascii="Arial" w:hAnsi="Arial" w:cs="Arial"/>
        </w:rPr>
        <w:t>capability</w:t>
      </w:r>
      <w:r w:rsidRPr="00B9471F">
        <w:rPr>
          <w:rFonts w:ascii="Arial" w:hAnsi="Arial" w:cs="Arial"/>
          <w:spacing w:val="-4"/>
        </w:rPr>
        <w:t xml:space="preserve"> </w:t>
      </w:r>
      <w:r w:rsidRPr="00B9471F">
        <w:rPr>
          <w:rFonts w:ascii="Arial" w:hAnsi="Arial" w:cs="Arial"/>
        </w:rPr>
        <w:t>associated</w:t>
      </w:r>
      <w:r w:rsidRPr="00B9471F">
        <w:rPr>
          <w:rFonts w:ascii="Arial" w:hAnsi="Arial" w:cs="Arial"/>
          <w:spacing w:val="-4"/>
        </w:rPr>
        <w:t xml:space="preserve"> </w:t>
      </w:r>
      <w:r w:rsidRPr="00B9471F">
        <w:rPr>
          <w:rFonts w:ascii="Arial" w:hAnsi="Arial" w:cs="Arial"/>
        </w:rPr>
        <w:t>with</w:t>
      </w:r>
      <w:r w:rsidRPr="00B9471F">
        <w:rPr>
          <w:rFonts w:ascii="Arial" w:hAnsi="Arial" w:cs="Arial"/>
          <w:spacing w:val="-5"/>
        </w:rPr>
        <w:t xml:space="preserve"> </w:t>
      </w:r>
      <w:r w:rsidRPr="00B9471F">
        <w:rPr>
          <w:rFonts w:ascii="Arial" w:hAnsi="Arial" w:cs="Arial"/>
        </w:rPr>
        <w:t>this</w:t>
      </w:r>
      <w:r w:rsidRPr="00B9471F">
        <w:rPr>
          <w:rFonts w:ascii="Arial" w:hAnsi="Arial" w:cs="Arial"/>
          <w:spacing w:val="-4"/>
        </w:rPr>
        <w:t xml:space="preserve"> </w:t>
      </w:r>
      <w:r w:rsidRPr="00B9471F">
        <w:rPr>
          <w:rFonts w:ascii="Arial" w:hAnsi="Arial" w:cs="Arial"/>
          <w:spacing w:val="-2"/>
        </w:rPr>
        <w:t>role.</w:t>
      </w:r>
    </w:p>
    <w:p w14:paraId="517AD303"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2E02F463"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6A311CF0"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43EAA61C"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5EE59863"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7B37E0F0"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5CEE8A2E"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6C884689"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78293BE6"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55D80899"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24DEA061"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324A5754"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004122DE"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7245E4A7"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09A39F85"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75DE4C36"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6E057224"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1F51E4A2"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1E834FD6"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7761A9BF"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101BAB8A"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1274B46B"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p>
    <w:p w14:paraId="6FFDEF5B" w14:textId="5B55F69D" w:rsidR="0090173C"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GB" w:eastAsia="en-GB" w:bidi="en-GB"/>
        </w:rPr>
      </w:pPr>
      <w:r>
        <w:rPr>
          <w:rFonts w:ascii="Arial" w:eastAsia="Calibri" w:hAnsi="Arial" w:cs="Arial"/>
          <w:b/>
          <w:color w:val="0070C0"/>
          <w:lang w:val="en-GB" w:eastAsia="en-GB" w:bidi="en-GB"/>
        </w:rPr>
        <w:lastRenderedPageBreak/>
        <w:t xml:space="preserve">Personal Specification: </w:t>
      </w:r>
    </w:p>
    <w:p w14:paraId="0BE2C911" w14:textId="77777777" w:rsidR="005B1DB2" w:rsidRPr="00E128CF"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60"/>
        <w:jc w:val="both"/>
        <w:rPr>
          <w:rFonts w:ascii="Arial" w:eastAsia="Calibri" w:hAnsi="Arial" w:cs="Arial"/>
          <w:b/>
          <w:color w:val="0070C0"/>
          <w:lang w:val="en-US" w:eastAsia="en-US" w:bidi="en-US"/>
        </w:rPr>
      </w:pPr>
    </w:p>
    <w:tbl>
      <w:tblPr>
        <w:tblW w:w="8961"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5"/>
        <w:gridCol w:w="3544"/>
        <w:gridCol w:w="3402"/>
      </w:tblGrid>
      <w:tr w:rsidR="0090173C" w:rsidRPr="00E128CF" w14:paraId="5A832E41" w14:textId="77777777" w:rsidTr="00E128CF">
        <w:tc>
          <w:tcPr>
            <w:tcW w:w="2015" w:type="dxa"/>
          </w:tcPr>
          <w:p w14:paraId="7BD46B05"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i/>
                <w:color w:val="0083CA"/>
                <w:lang w:val="en-GB" w:eastAsia="en-GB" w:bidi="en-GB"/>
              </w:rPr>
            </w:pPr>
            <w:r w:rsidRPr="00E128CF">
              <w:rPr>
                <w:rFonts w:ascii="Arial" w:eastAsia="Calibri" w:hAnsi="Arial" w:cs="Arial"/>
                <w:b/>
                <w:i/>
                <w:color w:val="0083CA"/>
                <w:lang w:val="en-GB" w:eastAsia="en-GB" w:bidi="en-GB"/>
              </w:rPr>
              <w:t>Criteria</w:t>
            </w:r>
          </w:p>
        </w:tc>
        <w:tc>
          <w:tcPr>
            <w:tcW w:w="3544" w:type="dxa"/>
          </w:tcPr>
          <w:p w14:paraId="1F1A8D7D"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i/>
                <w:color w:val="0083CA"/>
                <w:lang w:val="en-GB" w:eastAsia="en-GB" w:bidi="en-GB"/>
              </w:rPr>
            </w:pPr>
            <w:r w:rsidRPr="00E128CF">
              <w:rPr>
                <w:rFonts w:ascii="Arial" w:eastAsia="Calibri" w:hAnsi="Arial" w:cs="Arial"/>
                <w:b/>
                <w:i/>
                <w:color w:val="0083CA"/>
                <w:lang w:val="en-GB" w:eastAsia="en-GB" w:bidi="en-GB"/>
              </w:rPr>
              <w:t>Essential</w:t>
            </w:r>
          </w:p>
        </w:tc>
        <w:tc>
          <w:tcPr>
            <w:tcW w:w="3402" w:type="dxa"/>
          </w:tcPr>
          <w:p w14:paraId="58B2B2D3"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i/>
                <w:color w:val="0083CA"/>
                <w:lang w:val="en-GB" w:eastAsia="en-GB" w:bidi="en-GB"/>
              </w:rPr>
            </w:pPr>
            <w:r w:rsidRPr="00E128CF">
              <w:rPr>
                <w:rFonts w:ascii="Arial" w:eastAsia="Calibri" w:hAnsi="Arial" w:cs="Arial"/>
                <w:b/>
                <w:i/>
                <w:color w:val="0083CA"/>
                <w:lang w:val="en-GB" w:eastAsia="en-GB" w:bidi="en-GB"/>
              </w:rPr>
              <w:t>Desirable</w:t>
            </w:r>
          </w:p>
        </w:tc>
      </w:tr>
      <w:tr w:rsidR="0090173C" w:rsidRPr="00E128CF" w14:paraId="28FF47BF" w14:textId="77777777" w:rsidTr="00E128CF">
        <w:trPr>
          <w:trHeight w:val="892"/>
        </w:trPr>
        <w:tc>
          <w:tcPr>
            <w:tcW w:w="2015" w:type="dxa"/>
          </w:tcPr>
          <w:p w14:paraId="75925923" w14:textId="77777777" w:rsidR="0090173C" w:rsidRPr="00E128CF" w:rsidRDefault="00B401F0">
            <w:pPr>
              <w:pStyle w:val="Heading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sz w:val="24"/>
                <w:szCs w:val="24"/>
                <w:lang w:val="en-GB" w:eastAsia="en-GB" w:bidi="en-GB"/>
              </w:rPr>
            </w:pPr>
            <w:r w:rsidRPr="00E128CF">
              <w:rPr>
                <w:rFonts w:ascii="Arial" w:eastAsia="Calibri" w:hAnsi="Arial" w:cs="Arial"/>
                <w:b/>
                <w:sz w:val="24"/>
                <w:szCs w:val="24"/>
                <w:lang w:val="en-GB" w:eastAsia="en-GB" w:bidi="en-GB"/>
              </w:rPr>
              <w:t>Qualification/</w:t>
            </w:r>
          </w:p>
          <w:p w14:paraId="0A7298A4"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r w:rsidRPr="00E128CF">
              <w:rPr>
                <w:rFonts w:ascii="Arial" w:eastAsia="Calibri" w:hAnsi="Arial" w:cs="Arial"/>
                <w:b/>
                <w:lang w:val="en-GB" w:eastAsia="en-GB" w:bidi="en-GB"/>
              </w:rPr>
              <w:t>Attainments</w:t>
            </w:r>
          </w:p>
        </w:tc>
        <w:tc>
          <w:tcPr>
            <w:tcW w:w="3544" w:type="dxa"/>
          </w:tcPr>
          <w:p w14:paraId="6956880B" w14:textId="77777777" w:rsidR="0090173C" w:rsidRPr="00E128CF" w:rsidRDefault="0090173C">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jc w:val="both"/>
              <w:rPr>
                <w:rFonts w:ascii="Arial" w:eastAsia="Calibri" w:hAnsi="Arial" w:cs="Arial"/>
                <w:lang w:val="en-GB" w:eastAsia="en-GB" w:bidi="en-GB"/>
              </w:rPr>
            </w:pPr>
          </w:p>
        </w:tc>
        <w:tc>
          <w:tcPr>
            <w:tcW w:w="3402" w:type="dxa"/>
          </w:tcPr>
          <w:p w14:paraId="37ADFE3D"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 xml:space="preserve">NVQ level 3 Qualification in Warehousing/Stores </w:t>
            </w:r>
          </w:p>
        </w:tc>
      </w:tr>
      <w:tr w:rsidR="0090173C" w:rsidRPr="00E128CF" w14:paraId="7E196A76" w14:textId="77777777" w:rsidTr="00E128CF">
        <w:tc>
          <w:tcPr>
            <w:tcW w:w="2015" w:type="dxa"/>
          </w:tcPr>
          <w:p w14:paraId="64703F34" w14:textId="77777777" w:rsidR="0090173C" w:rsidRPr="00E128CF" w:rsidRDefault="00B401F0">
            <w:pPr>
              <w:pStyle w:val="Heading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sz w:val="24"/>
                <w:szCs w:val="24"/>
                <w:lang w:val="en-GB" w:eastAsia="en-GB" w:bidi="en-GB"/>
              </w:rPr>
            </w:pPr>
            <w:r w:rsidRPr="00E128CF">
              <w:rPr>
                <w:rFonts w:ascii="Arial" w:eastAsia="Calibri" w:hAnsi="Arial" w:cs="Arial"/>
                <w:b/>
                <w:sz w:val="24"/>
                <w:szCs w:val="24"/>
                <w:lang w:val="en-GB" w:eastAsia="en-GB" w:bidi="en-GB"/>
              </w:rPr>
              <w:t>Relevant Experience</w:t>
            </w:r>
          </w:p>
          <w:p w14:paraId="41359F68"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p>
        </w:tc>
        <w:tc>
          <w:tcPr>
            <w:tcW w:w="3544" w:type="dxa"/>
          </w:tcPr>
          <w:p w14:paraId="413139BD"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i/>
                <w:lang w:val="en-GB" w:eastAsia="en-GB" w:bidi="en-GB"/>
              </w:rPr>
            </w:pPr>
            <w:r w:rsidRPr="00E128CF">
              <w:rPr>
                <w:rFonts w:ascii="Arial" w:eastAsia="Calibri" w:hAnsi="Arial" w:cs="Arial"/>
                <w:lang w:val="en-GB" w:eastAsia="en-GB" w:bidi="en-GB"/>
              </w:rPr>
              <w:t>Minimum 1 years’ experience in similar role</w:t>
            </w:r>
            <w:r w:rsidRPr="00E128CF">
              <w:rPr>
                <w:rFonts w:ascii="Arial" w:eastAsia="Calibri" w:hAnsi="Arial" w:cs="Arial"/>
                <w:i/>
                <w:lang w:val="en-GB" w:eastAsia="en-GB" w:bidi="en-GB"/>
              </w:rPr>
              <w:t xml:space="preserve"> </w:t>
            </w:r>
          </w:p>
          <w:p w14:paraId="1880E326"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p>
        </w:tc>
        <w:tc>
          <w:tcPr>
            <w:tcW w:w="3402" w:type="dxa"/>
          </w:tcPr>
          <w:p w14:paraId="2396FA54"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i/>
                <w:lang w:val="en-GB" w:eastAsia="en-GB" w:bidi="en-GB"/>
              </w:rPr>
            </w:pPr>
            <w:r w:rsidRPr="00E128CF">
              <w:rPr>
                <w:rFonts w:ascii="Arial" w:eastAsia="Calibri" w:hAnsi="Arial" w:cs="Arial"/>
                <w:lang w:val="en-GB" w:eastAsia="en-GB" w:bidi="en-GB"/>
              </w:rPr>
              <w:t>Minimum 3 years’ experience in similar role</w:t>
            </w:r>
            <w:r w:rsidRPr="00E128CF">
              <w:rPr>
                <w:rFonts w:ascii="Arial" w:eastAsia="Calibri" w:hAnsi="Arial" w:cs="Arial"/>
                <w:i/>
                <w:lang w:val="en-GB" w:eastAsia="en-GB" w:bidi="en-GB"/>
              </w:rPr>
              <w:t xml:space="preserve"> </w:t>
            </w:r>
          </w:p>
          <w:p w14:paraId="720E33F7"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Aisle Master or Bendi truck experience</w:t>
            </w:r>
          </w:p>
          <w:p w14:paraId="25EC8790"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Material picking using handheld scanners</w:t>
            </w:r>
          </w:p>
        </w:tc>
      </w:tr>
      <w:tr w:rsidR="0090173C" w:rsidRPr="00E128CF" w14:paraId="60E16DE2" w14:textId="77777777" w:rsidTr="00E128CF">
        <w:tc>
          <w:tcPr>
            <w:tcW w:w="2015" w:type="dxa"/>
          </w:tcPr>
          <w:p w14:paraId="30163830" w14:textId="77777777" w:rsidR="0090173C" w:rsidRPr="00E128CF" w:rsidRDefault="00B401F0">
            <w:pPr>
              <w:pStyle w:val="Heading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sz w:val="24"/>
                <w:szCs w:val="24"/>
                <w:lang w:val="en-GB" w:eastAsia="en-GB" w:bidi="en-GB"/>
              </w:rPr>
            </w:pPr>
            <w:r w:rsidRPr="00E128CF">
              <w:rPr>
                <w:rFonts w:ascii="Arial" w:eastAsia="Calibri" w:hAnsi="Arial" w:cs="Arial"/>
                <w:b/>
                <w:sz w:val="24"/>
                <w:szCs w:val="24"/>
                <w:lang w:val="en-GB" w:eastAsia="en-GB" w:bidi="en-GB"/>
              </w:rPr>
              <w:t>Special Aptitudes</w:t>
            </w:r>
          </w:p>
          <w:p w14:paraId="5F766513"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p>
          <w:p w14:paraId="5C10695C"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p>
        </w:tc>
        <w:tc>
          <w:tcPr>
            <w:tcW w:w="3544" w:type="dxa"/>
          </w:tcPr>
          <w:p w14:paraId="7CA6D7FE"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 xml:space="preserve">Proven organisational skills with the ability to effectively plan, organise and control daily workload </w:t>
            </w:r>
          </w:p>
          <w:p w14:paraId="27B928DB"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Good interpersonal skills</w:t>
            </w:r>
          </w:p>
          <w:p w14:paraId="05611D86"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Ability to work unsupervised and as part of a team</w:t>
            </w:r>
          </w:p>
        </w:tc>
        <w:tc>
          <w:tcPr>
            <w:tcW w:w="3402" w:type="dxa"/>
          </w:tcPr>
          <w:p w14:paraId="79B6477D"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p>
        </w:tc>
      </w:tr>
      <w:tr w:rsidR="0090173C" w:rsidRPr="00E128CF" w14:paraId="6FCD98AD" w14:textId="77777777" w:rsidTr="00E128CF">
        <w:tc>
          <w:tcPr>
            <w:tcW w:w="2015" w:type="dxa"/>
          </w:tcPr>
          <w:p w14:paraId="43417176"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r w:rsidRPr="00E128CF">
              <w:rPr>
                <w:rFonts w:ascii="Arial" w:eastAsia="Calibri" w:hAnsi="Arial" w:cs="Arial"/>
                <w:b/>
                <w:lang w:val="en-GB" w:eastAsia="en-GB" w:bidi="en-GB"/>
              </w:rPr>
              <w:t>Disposition</w:t>
            </w:r>
          </w:p>
          <w:p w14:paraId="40AA8718"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p>
        </w:tc>
        <w:tc>
          <w:tcPr>
            <w:tcW w:w="3544" w:type="dxa"/>
          </w:tcPr>
          <w:p w14:paraId="690D8BA4"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Attentive to detail</w:t>
            </w:r>
          </w:p>
          <w:p w14:paraId="47B3104F"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Able to work under pressure</w:t>
            </w:r>
          </w:p>
          <w:p w14:paraId="3B857899"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Dependable and reliable</w:t>
            </w:r>
          </w:p>
          <w:p w14:paraId="0A704D84"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 xml:space="preserve">Enthusiastic, energetic self-starter able to work on own initiative </w:t>
            </w:r>
          </w:p>
          <w:p w14:paraId="115A82D1"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Willingness to develop and adapt to new situations</w:t>
            </w:r>
          </w:p>
          <w:p w14:paraId="585958CD"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Team Player</w:t>
            </w:r>
          </w:p>
        </w:tc>
        <w:tc>
          <w:tcPr>
            <w:tcW w:w="3402" w:type="dxa"/>
          </w:tcPr>
          <w:p w14:paraId="76B0983F"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p>
        </w:tc>
      </w:tr>
      <w:tr w:rsidR="0090173C" w:rsidRPr="00E128CF" w14:paraId="191EB10A" w14:textId="77777777" w:rsidTr="00E128CF">
        <w:tc>
          <w:tcPr>
            <w:tcW w:w="2015" w:type="dxa"/>
          </w:tcPr>
          <w:p w14:paraId="3D67255A"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r w:rsidRPr="00E128CF">
              <w:rPr>
                <w:rFonts w:ascii="Arial" w:eastAsia="Calibri" w:hAnsi="Arial" w:cs="Arial"/>
                <w:b/>
                <w:lang w:val="en-GB" w:eastAsia="en-GB" w:bidi="en-GB"/>
              </w:rPr>
              <w:t>Circumstances</w:t>
            </w:r>
          </w:p>
          <w:p w14:paraId="3910B4F4"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lang w:val="en-GB" w:eastAsia="en-GB" w:bidi="en-GB"/>
              </w:rPr>
            </w:pPr>
          </w:p>
        </w:tc>
        <w:tc>
          <w:tcPr>
            <w:tcW w:w="3544" w:type="dxa"/>
          </w:tcPr>
          <w:p w14:paraId="50FAC483"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 xml:space="preserve">Available to work flexible hours and </w:t>
            </w:r>
          </w:p>
          <w:p w14:paraId="3F51C78E" w14:textId="77777777" w:rsidR="0090173C" w:rsidRPr="00E128CF" w:rsidRDefault="00B401F0">
            <w:pPr>
              <w:numPr>
                <w:ilvl w:val="0"/>
                <w:numId w:val="3"/>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Arial" w:eastAsia="Calibri" w:hAnsi="Arial" w:cs="Arial"/>
                <w:lang w:val="en-GB" w:eastAsia="en-GB" w:bidi="en-GB"/>
              </w:rPr>
            </w:pPr>
            <w:r w:rsidRPr="00E128CF">
              <w:rPr>
                <w:rFonts w:ascii="Arial" w:eastAsia="Calibri" w:hAnsi="Arial" w:cs="Arial"/>
                <w:lang w:val="en-GB" w:eastAsia="en-GB" w:bidi="en-GB"/>
              </w:rPr>
              <w:t>Clearance to work in UK</w:t>
            </w:r>
          </w:p>
        </w:tc>
        <w:tc>
          <w:tcPr>
            <w:tcW w:w="3402" w:type="dxa"/>
          </w:tcPr>
          <w:p w14:paraId="3F6176FD"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lang w:val="en-GB" w:eastAsia="en-GB" w:bidi="en-GB"/>
              </w:rPr>
            </w:pPr>
          </w:p>
        </w:tc>
      </w:tr>
    </w:tbl>
    <w:p w14:paraId="497A7A0A"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i/>
          <w:color w:val="222222"/>
          <w:lang w:val="en-GB" w:eastAsia="en-GB" w:bidi="en-GB"/>
        </w:rPr>
      </w:pPr>
    </w:p>
    <w:p w14:paraId="4DFD0373" w14:textId="77777777" w:rsidR="005B1DB2" w:rsidRDefault="005B1DB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i/>
          <w:color w:val="222222"/>
          <w:lang w:val="en-GB" w:eastAsia="en-GB" w:bidi="en-GB"/>
        </w:rPr>
      </w:pPr>
    </w:p>
    <w:p w14:paraId="7AA8AE51" w14:textId="652B6CE2"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i/>
          <w:color w:val="222222"/>
          <w:lang w:val="en-GB" w:eastAsia="en-GB" w:bidi="en-GB"/>
        </w:rPr>
      </w:pPr>
      <w:r w:rsidRPr="00E128CF">
        <w:rPr>
          <w:rFonts w:ascii="Arial" w:eastAsia="Calibri" w:hAnsi="Arial" w:cs="Arial"/>
          <w:i/>
          <w:color w:val="222222"/>
          <w:lang w:val="en-GB" w:eastAsia="en-GB" w:bidi="en-GB"/>
        </w:rPr>
        <w:t xml:space="preserve">General: </w:t>
      </w:r>
    </w:p>
    <w:p w14:paraId="34344DB7" w14:textId="77777777" w:rsidR="0090173C" w:rsidRPr="00E128CF" w:rsidRDefault="00B401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color w:val="FF0000"/>
          <w:lang w:val="en-GB" w:eastAsia="en-GB" w:bidi="en-GB"/>
        </w:rPr>
      </w:pPr>
      <w:r w:rsidRPr="00E128CF">
        <w:rPr>
          <w:rFonts w:ascii="Arial" w:eastAsia="Calibri" w:hAnsi="Arial" w:cs="Arial"/>
          <w:i/>
          <w:color w:val="222222"/>
          <w:lang w:val="en-GB" w:eastAsia="en-GB" w:bidi="en-GB"/>
        </w:rPr>
        <w:t>Applicants are expected to be flexible and to undertake other appropriate duties and occasional work at weekends, evenings and public holidays. Applicants must have access to an appropriate method of transport to enable them to fulfil the needs of the post. CDE is an equal opportunities employer and welcome applicants from all countries and backgrounds. Desirable criteria may be used for shortlisting. The Company reserves the right to vary criteria at the shortlisting stage.</w:t>
      </w:r>
    </w:p>
    <w:p w14:paraId="55963BB9"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color w:val="222222"/>
          <w:lang w:val="en-GB" w:eastAsia="en-GB" w:bidi="en-GB"/>
        </w:rPr>
      </w:pPr>
    </w:p>
    <w:p w14:paraId="7F7E04AA" w14:textId="77777777" w:rsidR="0090173C" w:rsidRPr="00E128CF" w:rsidRDefault="0090173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Arial" w:eastAsia="Calibri" w:hAnsi="Arial" w:cs="Arial"/>
          <w:color w:val="222222"/>
          <w:lang w:val="en-GB" w:eastAsia="en-GB" w:bidi="en-GB"/>
        </w:rPr>
      </w:pPr>
    </w:p>
    <w:sectPr w:rsidR="0090173C" w:rsidRPr="00E128CF">
      <w:headerReference w:type="default" r:id="rId8"/>
      <w:pgSz w:w="11909" w:h="16834"/>
      <w:pgMar w:top="1800" w:right="1440" w:bottom="1440" w:left="144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96F722" w14:textId="77777777" w:rsidR="00DB14C4" w:rsidRDefault="00DB14C4">
      <w:r>
        <w:separator/>
      </w:r>
    </w:p>
  </w:endnote>
  <w:endnote w:type="continuationSeparator" w:id="0">
    <w:p w14:paraId="57B41B30" w14:textId="77777777" w:rsidR="00DB14C4" w:rsidRDefault="00DB1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C9D4C" w14:textId="77777777" w:rsidR="00DB14C4" w:rsidRDefault="00DB14C4">
      <w:r>
        <w:separator/>
      </w:r>
    </w:p>
  </w:footnote>
  <w:footnote w:type="continuationSeparator" w:id="0">
    <w:p w14:paraId="330EA4F3" w14:textId="77777777" w:rsidR="00DB14C4" w:rsidRDefault="00DB14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0CD56" w14:textId="77777777" w:rsidR="0090173C" w:rsidRDefault="00B401F0">
    <w:pPr>
      <w:pStyle w:val="Header"/>
      <w:tabs>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jc w:val="right"/>
      <w:rPr>
        <w:lang w:val="en-GB" w:eastAsia="en-GB" w:bidi="en-GB"/>
      </w:rPr>
    </w:pPr>
    <w:r>
      <w:rPr>
        <w:noProof/>
        <w:lang w:val="en-GB" w:eastAsia="en-GB"/>
      </w:rPr>
      <w:drawing>
        <wp:inline distT="0" distB="0" distL="0" distR="0" wp14:anchorId="10A01696" wp14:editId="688F3721">
          <wp:extent cx="1040130" cy="54292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
                  <a:stretch>
                    <a:fillRect/>
                  </a:stretch>
                </pic:blipFill>
                <pic:spPr>
                  <a:xfrm>
                    <a:off x="0" y="0"/>
                    <a:ext cx="1040130" cy="542925"/>
                  </a:xfrm>
                  <a:prstGeom prst="rect">
                    <a:avLst/>
                  </a:prstGeom>
                </pic:spPr>
              </pic:pic>
            </a:graphicData>
          </a:graphic>
        </wp:inline>
      </w:drawing>
    </w:r>
  </w:p>
  <w:p w14:paraId="39724392" w14:textId="77777777" w:rsidR="0090173C" w:rsidRDefault="0090173C">
    <w:pPr>
      <w:pStyle w:val="Header"/>
      <w:tabs>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s>
      <w:rPr>
        <w:lang w:val="en-GB" w:eastAsia="en-GB" w:bidi="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83BDA"/>
    <w:multiLevelType w:val="hybridMultilevel"/>
    <w:tmpl w:val="D8FCE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DA5517"/>
    <w:multiLevelType w:val="singleLevel"/>
    <w:tmpl w:val="53287ED4"/>
    <w:lvl w:ilvl="0">
      <w:start w:val="1"/>
      <w:numFmt w:val="bullet"/>
      <w:lvlText w:val=""/>
      <w:lvlJc w:val="left"/>
      <w:pPr>
        <w:tabs>
          <w:tab w:val="num" w:pos="360"/>
        </w:tabs>
        <w:ind w:left="360" w:hanging="360"/>
      </w:pPr>
      <w:rPr>
        <w:rFonts w:ascii="Symbol" w:eastAsia="Symbol" w:hAnsi="Symbol" w:cs="Symbol" w:hint="default"/>
        <w:b w:val="0"/>
        <w:i w:val="0"/>
        <w:strike w:val="0"/>
        <w:color w:val="auto"/>
        <w:position w:val="0"/>
        <w:sz w:val="20"/>
        <w:u w:val="none"/>
        <w:shd w:val="clear" w:color="auto" w:fill="auto"/>
      </w:rPr>
    </w:lvl>
  </w:abstractNum>
  <w:abstractNum w:abstractNumId="2" w15:restartNumberingAfterBreak="0">
    <w:nsid w:val="41F2111C"/>
    <w:multiLevelType w:val="hybridMultilevel"/>
    <w:tmpl w:val="4274D8D8"/>
    <w:lvl w:ilvl="0" w:tplc="5652F81E">
      <w:numFmt w:val="bullet"/>
      <w:lvlText w:val=""/>
      <w:lvlJc w:val="left"/>
      <w:pPr>
        <w:ind w:left="800" w:hanging="360"/>
      </w:pPr>
      <w:rPr>
        <w:rFonts w:ascii="Symbol" w:eastAsia="Symbol" w:hAnsi="Symbol" w:cs="Symbol" w:hint="default"/>
        <w:w w:val="99"/>
        <w:lang w:val="en-US" w:eastAsia="en-US" w:bidi="ar-SA"/>
      </w:rPr>
    </w:lvl>
    <w:lvl w:ilvl="1" w:tplc="4C26DCDA">
      <w:numFmt w:val="bullet"/>
      <w:lvlText w:val="•"/>
      <w:lvlJc w:val="left"/>
      <w:pPr>
        <w:ind w:left="1710" w:hanging="360"/>
      </w:pPr>
      <w:rPr>
        <w:rFonts w:hint="default"/>
        <w:lang w:val="en-US" w:eastAsia="en-US" w:bidi="ar-SA"/>
      </w:rPr>
    </w:lvl>
    <w:lvl w:ilvl="2" w:tplc="135AC64E">
      <w:numFmt w:val="bullet"/>
      <w:lvlText w:val="•"/>
      <w:lvlJc w:val="left"/>
      <w:pPr>
        <w:ind w:left="2621" w:hanging="360"/>
      </w:pPr>
      <w:rPr>
        <w:rFonts w:hint="default"/>
        <w:lang w:val="en-US" w:eastAsia="en-US" w:bidi="ar-SA"/>
      </w:rPr>
    </w:lvl>
    <w:lvl w:ilvl="3" w:tplc="33583872">
      <w:numFmt w:val="bullet"/>
      <w:lvlText w:val="•"/>
      <w:lvlJc w:val="left"/>
      <w:pPr>
        <w:ind w:left="3532" w:hanging="360"/>
      </w:pPr>
      <w:rPr>
        <w:rFonts w:hint="default"/>
        <w:lang w:val="en-US" w:eastAsia="en-US" w:bidi="ar-SA"/>
      </w:rPr>
    </w:lvl>
    <w:lvl w:ilvl="4" w:tplc="D576AC7E">
      <w:numFmt w:val="bullet"/>
      <w:lvlText w:val="•"/>
      <w:lvlJc w:val="left"/>
      <w:pPr>
        <w:ind w:left="4443" w:hanging="360"/>
      </w:pPr>
      <w:rPr>
        <w:rFonts w:hint="default"/>
        <w:lang w:val="en-US" w:eastAsia="en-US" w:bidi="ar-SA"/>
      </w:rPr>
    </w:lvl>
    <w:lvl w:ilvl="5" w:tplc="D868D09E">
      <w:numFmt w:val="bullet"/>
      <w:lvlText w:val="•"/>
      <w:lvlJc w:val="left"/>
      <w:pPr>
        <w:ind w:left="5354" w:hanging="360"/>
      </w:pPr>
      <w:rPr>
        <w:rFonts w:hint="default"/>
        <w:lang w:val="en-US" w:eastAsia="en-US" w:bidi="ar-SA"/>
      </w:rPr>
    </w:lvl>
    <w:lvl w:ilvl="6" w:tplc="F162E210">
      <w:numFmt w:val="bullet"/>
      <w:lvlText w:val="•"/>
      <w:lvlJc w:val="left"/>
      <w:pPr>
        <w:ind w:left="6265" w:hanging="360"/>
      </w:pPr>
      <w:rPr>
        <w:rFonts w:hint="default"/>
        <w:lang w:val="en-US" w:eastAsia="en-US" w:bidi="ar-SA"/>
      </w:rPr>
    </w:lvl>
    <w:lvl w:ilvl="7" w:tplc="20F25300">
      <w:numFmt w:val="bullet"/>
      <w:lvlText w:val="•"/>
      <w:lvlJc w:val="left"/>
      <w:pPr>
        <w:ind w:left="7176" w:hanging="360"/>
      </w:pPr>
      <w:rPr>
        <w:rFonts w:hint="default"/>
        <w:lang w:val="en-US" w:eastAsia="en-US" w:bidi="ar-SA"/>
      </w:rPr>
    </w:lvl>
    <w:lvl w:ilvl="8" w:tplc="B8CC1E0A">
      <w:numFmt w:val="bullet"/>
      <w:lvlText w:val="•"/>
      <w:lvlJc w:val="left"/>
      <w:pPr>
        <w:ind w:left="8087" w:hanging="360"/>
      </w:pPr>
      <w:rPr>
        <w:rFonts w:hint="default"/>
        <w:lang w:val="en-US" w:eastAsia="en-US" w:bidi="ar-SA"/>
      </w:rPr>
    </w:lvl>
  </w:abstractNum>
  <w:abstractNum w:abstractNumId="3" w15:restartNumberingAfterBreak="0">
    <w:nsid w:val="509519E3"/>
    <w:multiLevelType w:val="singleLevel"/>
    <w:tmpl w:val="79C85240"/>
    <w:lvl w:ilvl="0">
      <w:start w:val="1"/>
      <w:numFmt w:val="bullet"/>
      <w:lvlText w:val=""/>
      <w:lvlJc w:val="left"/>
      <w:pPr>
        <w:tabs>
          <w:tab w:val="num" w:pos="360"/>
        </w:tabs>
        <w:ind w:left="360" w:hanging="360"/>
      </w:pPr>
      <w:rPr>
        <w:rFonts w:ascii="Symbol" w:eastAsia="Symbol" w:hAnsi="Symbol" w:cs="Symbol" w:hint="default"/>
        <w:b w:val="0"/>
        <w:i w:val="0"/>
        <w:strike w:val="0"/>
        <w:color w:val="auto"/>
        <w:position w:val="0"/>
        <w:sz w:val="20"/>
        <w:u w:val="none"/>
        <w:shd w:val="clear" w:color="auto" w:fill="auto"/>
      </w:rPr>
    </w:lvl>
  </w:abstractNum>
  <w:abstractNum w:abstractNumId="4" w15:restartNumberingAfterBreak="0">
    <w:nsid w:val="64EA1FDD"/>
    <w:multiLevelType w:val="singleLevel"/>
    <w:tmpl w:val="3DCE6496"/>
    <w:lvl w:ilvl="0">
      <w:start w:val="1"/>
      <w:numFmt w:val="bullet"/>
      <w:lvlText w:val=""/>
      <w:lvlJc w:val="left"/>
      <w:pPr>
        <w:tabs>
          <w:tab w:val="num" w:pos="720"/>
        </w:tabs>
        <w:ind w:left="720" w:hanging="360"/>
      </w:pPr>
      <w:rPr>
        <w:rFonts w:ascii="Symbol" w:eastAsia="Symbol" w:hAnsi="Symbol" w:cs="Symbol" w:hint="default"/>
        <w:b w:val="0"/>
        <w:i w:val="0"/>
        <w:strike w:val="0"/>
        <w:color w:val="auto"/>
        <w:position w:val="0"/>
        <w:sz w:val="20"/>
        <w:u w:val="none"/>
        <w:shd w:val="clear" w:color="auto" w:fill="auto"/>
      </w:rPr>
    </w:lvl>
  </w:abstractNum>
  <w:num w:numId="1" w16cid:durableId="1740010215">
    <w:abstractNumId w:val="3"/>
  </w:num>
  <w:num w:numId="2" w16cid:durableId="326597489">
    <w:abstractNumId w:val="4"/>
  </w:num>
  <w:num w:numId="3" w16cid:durableId="1484397462">
    <w:abstractNumId w:val="1"/>
  </w:num>
  <w:num w:numId="4" w16cid:durableId="397897835">
    <w:abstractNumId w:val="0"/>
  </w:num>
  <w:num w:numId="5" w16cid:durableId="21371374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134"/>
  <w:characterSpacingControl w:val="doNotCompress"/>
  <w:footnotePr>
    <w:footnote w:id="-1"/>
    <w:footnote w:id="0"/>
  </w:footnotePr>
  <w:endnotePr>
    <w:endnote w:id="-1"/>
    <w:endnote w:id="0"/>
  </w:endnotePr>
  <w:compat>
    <w:noExtraLine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173C"/>
    <w:rsid w:val="00147D5F"/>
    <w:rsid w:val="00241D68"/>
    <w:rsid w:val="0035199A"/>
    <w:rsid w:val="005B1DB2"/>
    <w:rsid w:val="0066761E"/>
    <w:rsid w:val="007B1456"/>
    <w:rsid w:val="0090173C"/>
    <w:rsid w:val="00A73D6E"/>
    <w:rsid w:val="00AC7E11"/>
    <w:rsid w:val="00B07716"/>
    <w:rsid w:val="00B401F0"/>
    <w:rsid w:val="00DB14C4"/>
    <w:rsid w:val="00DD2D9A"/>
    <w:rsid w:val="00E0486E"/>
    <w:rsid w:val="00E128CF"/>
    <w:rsid w:val="00E360AF"/>
    <w:rsid w:val="00EC70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7CC4C"/>
  <w15:docId w15:val="{0F9F2EF1-1E2D-4462-9B50-EC8546D9B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Times New Roman" w:cs="Times New Roman"/>
        <w:sz w:val="24"/>
        <w:lang w:val="en-GB" w:eastAsia="en-GB" w:bidi="ar-SA"/>
      </w:rPr>
    </w:rPrDefault>
    <w:pPrDefault>
      <w:pPr>
        <w:spacing w:after="160" w:line="259" w:lineRule="auto"/>
      </w:pPr>
    </w:pPrDefault>
  </w:docDefaults>
  <w:latentStyles w:defLockedState="0" w:defUIPriority="0" w:defSemiHidden="0" w:defUnhideWhenUsed="0" w:defQFormat="0" w:count="376">
    <w:lsdException w:name="Body Text" w:uiPriority="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0" w:line="240" w:lineRule="auto"/>
    </w:pPr>
    <w:rPr>
      <w:rFonts w:ascii="Times New Roman"/>
      <w:szCs w:val="24"/>
      <w:lang w:val="x-none" w:eastAsia="x-none"/>
    </w:rPr>
  </w:style>
  <w:style w:type="paragraph" w:styleId="Heading1">
    <w:name w:val="heading 1"/>
    <w:basedOn w:val="Normal"/>
    <w:next w:val="Normal"/>
    <w:qFormat/>
    <w:pPr>
      <w:keepNext/>
      <w:outlineLvl w:val="0"/>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 w:type="paragraph" w:styleId="Header">
    <w:name w:val="header"/>
    <w:basedOn w:val="Normal"/>
    <w:qFormat/>
    <w:pPr>
      <w:tabs>
        <w:tab w:val="center" w:pos="4153"/>
        <w:tab w:val="right" w:pos="8306"/>
      </w:tabs>
    </w:pPr>
  </w:style>
  <w:style w:type="paragraph" w:customStyle="1" w:styleId="prodnormal">
    <w:name w:val="prod_normal"/>
    <w:basedOn w:val="Normal"/>
    <w:qFormat/>
    <w:pPr>
      <w:tabs>
        <w:tab w:val="left" w:pos="964"/>
      </w:tabs>
      <w:spacing w:after="220"/>
    </w:pPr>
    <w:rPr>
      <w:rFonts w:ascii="Verdana" w:eastAsia="Verdana" w:hAnsi="Verdana" w:cs="Verdana"/>
      <w:sz w:val="22"/>
      <w:szCs w:val="22"/>
    </w:rPr>
  </w:style>
  <w:style w:type="paragraph" w:styleId="CommentText">
    <w:name w:val="annotation text"/>
    <w:basedOn w:val="Normal"/>
    <w:qFormat/>
    <w:rPr>
      <w:sz w:val="20"/>
      <w:szCs w:val="20"/>
    </w:rPr>
  </w:style>
  <w:style w:type="paragraph" w:styleId="CommentSubject">
    <w:name w:val="annotation subject"/>
    <w:basedOn w:val="CommentText"/>
    <w:next w:val="CommentText"/>
    <w:qFormat/>
    <w:rPr>
      <w:b/>
      <w:bCs/>
    </w:rPr>
  </w:style>
  <w:style w:type="paragraph" w:styleId="BalloonText">
    <w:name w:val="Balloon Text"/>
    <w:basedOn w:val="Normal"/>
    <w:qFormat/>
    <w:rPr>
      <w:rFonts w:ascii="Tahoma" w:eastAsia="Tahoma" w:hAnsi="Tahoma" w:cs="Tahoma"/>
      <w:sz w:val="16"/>
      <w:szCs w:val="16"/>
    </w:rPr>
  </w:style>
  <w:style w:type="paragraph" w:styleId="DocumentMap">
    <w:name w:val="Document Map"/>
    <w:basedOn w:val="Normal"/>
    <w:qFormat/>
    <w:rPr>
      <w:rFonts w:ascii="Tahoma" w:eastAsia="Tahoma" w:hAnsi="Tahoma" w:cs="Tahoma"/>
      <w:color w:val="FFFFFF"/>
      <w:sz w:val="20"/>
      <w:szCs w:val="20"/>
      <w:shd w:val="clear" w:color="auto" w:fill="000080"/>
    </w:rPr>
  </w:style>
  <w:style w:type="paragraph" w:styleId="Footer">
    <w:name w:val="footer"/>
    <w:basedOn w:val="Normal"/>
    <w:qFormat/>
    <w:pPr>
      <w:tabs>
        <w:tab w:val="center" w:pos="4153"/>
        <w:tab w:val="right" w:pos="8306"/>
      </w:tabs>
    </w:pPr>
  </w:style>
  <w:style w:type="paragraph" w:styleId="ListParagraph">
    <w:name w:val="List Paragraph"/>
    <w:basedOn w:val="Normal"/>
    <w:uiPriority w:val="1"/>
    <w:qFormat/>
    <w:pPr>
      <w:ind w:left="720"/>
    </w:pPr>
  </w:style>
  <w:style w:type="paragraph" w:styleId="NormalWeb">
    <w:name w:val="Normal (Web)"/>
    <w:basedOn w:val="Normal"/>
    <w:qFormat/>
    <w:pPr>
      <w:spacing w:after="240"/>
    </w:pPr>
  </w:style>
  <w:style w:type="character" w:customStyle="1" w:styleId="Mention1">
    <w:name w:val="Mention1"/>
    <w:qFormat/>
    <w:rPr>
      <w:color w:val="2B579A"/>
      <w:shd w:val="clear" w:color="auto" w:fill="E6E6E6"/>
      <w:rtl w:val="0"/>
      <w:lang w:val="x-none" w:eastAsia="x-none" w:bidi="x-none"/>
    </w:rPr>
  </w:style>
  <w:style w:type="character" w:styleId="FollowedHyperlink">
    <w:name w:val="FollowedHyperlink"/>
    <w:qFormat/>
    <w:rPr>
      <w:color w:val="954F72"/>
      <w:u w:val="single"/>
      <w:rtl w:val="0"/>
      <w:lang w:val="x-none" w:eastAsia="x-none" w:bidi="x-none"/>
    </w:rPr>
  </w:style>
  <w:style w:type="character" w:styleId="CommentReference">
    <w:name w:val="annotation reference"/>
    <w:qFormat/>
    <w:rPr>
      <w:sz w:val="16"/>
      <w:szCs w:val="16"/>
      <w:rtl w:val="0"/>
      <w:lang w:val="x-none" w:eastAsia="x-none" w:bidi="x-none"/>
    </w:rPr>
  </w:style>
  <w:style w:type="character" w:customStyle="1" w:styleId="HeaderChar">
    <w:name w:val="Header Char"/>
    <w:qFormat/>
    <w:rPr>
      <w:sz w:val="24"/>
      <w:szCs w:val="24"/>
      <w:rtl w:val="0"/>
      <w:lang w:val="x-none" w:eastAsia="x-none" w:bidi="x-none"/>
    </w:rPr>
  </w:style>
  <w:style w:type="character" w:styleId="Strong">
    <w:name w:val="Strong"/>
    <w:qFormat/>
    <w:rPr>
      <w:b/>
      <w:bCs/>
      <w:rtl w:val="0"/>
      <w:lang w:val="x-none" w:eastAsia="x-none" w:bidi="x-none"/>
    </w:rPr>
  </w:style>
  <w:style w:type="character" w:styleId="Hyperlink">
    <w:name w:val="Hyperlink"/>
    <w:qFormat/>
    <w:rPr>
      <w:color w:val="0563C1"/>
      <w:u w:val="single"/>
      <w:rtl w:val="0"/>
      <w:lang w:val="x-none" w:eastAsia="x-none" w:bidi="x-none"/>
    </w:rPr>
  </w:style>
  <w:style w:type="character" w:customStyle="1" w:styleId="UnresolvedMention1">
    <w:name w:val="Unresolved Mention1"/>
    <w:qFormat/>
    <w:rPr>
      <w:color w:val="605E5C"/>
      <w:shd w:val="clear" w:color="auto" w:fill="E1DFDD"/>
      <w:rtl w:val="0"/>
      <w:lang w:val="x-none" w:eastAsia="x-none" w:bidi="x-none"/>
    </w:rPr>
  </w:style>
  <w:style w:type="character" w:customStyle="1" w:styleId="Heading1Char">
    <w:name w:val="Heading 1 Char"/>
    <w:qFormat/>
    <w:rPr>
      <w:sz w:val="32"/>
      <w:szCs w:val="32"/>
      <w:rtl w:val="0"/>
      <w:lang w:val="x-none" w:eastAsia="x-none" w:bidi="x-none"/>
    </w:rPr>
  </w:style>
  <w:style w:type="paragraph" w:styleId="BodyText">
    <w:name w:val="Body Text"/>
    <w:basedOn w:val="Normal"/>
    <w:link w:val="BodyTextChar"/>
    <w:uiPriority w:val="1"/>
    <w:qFormat/>
    <w:rsid w:val="00DD2D9A"/>
    <w:pPr>
      <w:widowControl w:val="0"/>
      <w:autoSpaceDE w:val="0"/>
      <w:autoSpaceDN w:val="0"/>
    </w:pPr>
    <w:rPr>
      <w:rFonts w:ascii="Calibri" w:eastAsia="Calibri" w:hAnsi="Calibri" w:cs="Calibri"/>
      <w:sz w:val="20"/>
      <w:szCs w:val="20"/>
      <w:lang w:val="en-US" w:eastAsia="en-US"/>
    </w:rPr>
  </w:style>
  <w:style w:type="character" w:customStyle="1" w:styleId="BodyTextChar">
    <w:name w:val="Body Text Char"/>
    <w:basedOn w:val="DefaultParagraphFont"/>
    <w:link w:val="BodyText"/>
    <w:uiPriority w:val="1"/>
    <w:rsid w:val="00DD2D9A"/>
    <w:rPr>
      <w:rFonts w:ascii="Calibri" w:eastAsia="Calibri" w:hAnsi="Calibri" w:cs="Calibri"/>
      <w:sz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degroup.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624</Words>
  <Characters>3562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Danielle McFall</dc:creator>
  <cp:lastModifiedBy>Lyndsey Jackson</cp:lastModifiedBy>
  <cp:revision>2</cp:revision>
  <dcterms:created xsi:type="dcterms:W3CDTF">2025-10-03T12:53:00Z</dcterms:created>
  <dcterms:modified xsi:type="dcterms:W3CDTF">2025-10-03T12:53:00Z</dcterms:modified>
</cp:coreProperties>
</file>